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2" w:rsidRDefault="00A559D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 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</w:t>
      </w:r>
    </w:p>
    <w:p w:rsidR="00A64E62" w:rsidRDefault="00A559D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бағдарламасы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негізінде</w:t>
      </w:r>
      <w:proofErr w:type="spellEnd"/>
    </w:p>
    <w:p w:rsidR="00A64E62" w:rsidRDefault="00A559DF" w:rsidP="00D1423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2022 - 2023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арналған ұйымдастырылған 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әрекеттің перспективалық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D1423B" w:rsidRPr="00D1423B" w:rsidRDefault="00D1423B" w:rsidP="00D1423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64E62" w:rsidRPr="00A559DF" w:rsidRDefault="00A559DF">
      <w:pPr>
        <w:pStyle w:val="normal"/>
        <w:spacing w:line="266" w:lineRule="auto"/>
        <w:rPr>
          <w:rFonts w:ascii="Times New Roman" w:eastAsia="Times New Roman" w:hAnsi="Times New Roman" w:cs="Times New Roman"/>
          <w:szCs w:val="28"/>
          <w:highlight w:val="white"/>
          <w:u w:val="single"/>
          <w:lang w:val="kk-KZ"/>
        </w:rPr>
      </w:pPr>
      <w:proofErr w:type="spellStart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>Білім</w:t>
      </w:r>
      <w:proofErr w:type="spellEnd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беру ұйымы (балабақша / </w:t>
      </w:r>
      <w:proofErr w:type="gramStart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  <w:u w:val="single"/>
        </w:rPr>
        <w:t>ша</w:t>
      </w:r>
      <w:proofErr w:type="gramEnd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  <w:u w:val="single"/>
        </w:rPr>
        <w:t>ғын орталық,</w:t>
      </w:r>
      <w:r w:rsidR="00D1423B"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</w:t>
      </w:r>
      <w:proofErr w:type="spellStart"/>
      <w:r w:rsidR="00D1423B"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>мектепалды</w:t>
      </w:r>
      <w:proofErr w:type="spellEnd"/>
      <w:r w:rsidR="00D1423B"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</w:t>
      </w:r>
      <w:proofErr w:type="spellStart"/>
      <w:r w:rsidR="00D1423B"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>сыныбы</w:t>
      </w:r>
      <w:proofErr w:type="spellEnd"/>
      <w:r w:rsidR="00D1423B"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>)</w:t>
      </w:r>
      <w:r w:rsidR="00D1423B" w:rsidRPr="00A559DF">
        <w:rPr>
          <w:rFonts w:ascii="Times New Roman" w:eastAsia="Times New Roman" w:hAnsi="Times New Roman" w:cs="Times New Roman"/>
          <w:sz w:val="24"/>
          <w:szCs w:val="28"/>
          <w:highlight w:val="white"/>
          <w:lang w:val="kk-KZ"/>
        </w:rPr>
        <w:t xml:space="preserve">  </w:t>
      </w:r>
      <w:r w:rsidR="00D1423B" w:rsidRPr="00A559DF">
        <w:rPr>
          <w:rFonts w:ascii="Times New Roman" w:eastAsia="Times New Roman" w:hAnsi="Times New Roman" w:cs="Times New Roman"/>
          <w:szCs w:val="28"/>
          <w:highlight w:val="white"/>
          <w:u w:val="single"/>
          <w:lang w:val="kk-KZ"/>
        </w:rPr>
        <w:t>Күшуақ шағын орталық  Балдырған ересек топ</w:t>
      </w:r>
    </w:p>
    <w:p w:rsidR="00A64E62" w:rsidRPr="00A559DF" w:rsidRDefault="00A559DF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Топ: </w:t>
      </w:r>
      <w:proofErr w:type="spellStart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>ересек</w:t>
      </w:r>
      <w:proofErr w:type="spellEnd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 топ</w:t>
      </w:r>
    </w:p>
    <w:p w:rsidR="00A64E62" w:rsidRPr="00A559DF" w:rsidRDefault="00A559DF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Балалардың </w:t>
      </w:r>
      <w:proofErr w:type="spellStart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>жасы</w:t>
      </w:r>
      <w:proofErr w:type="spellEnd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: 4 </w:t>
      </w:r>
      <w:proofErr w:type="spellStart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>жастан</w:t>
      </w:r>
      <w:proofErr w:type="spellEnd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>.</w:t>
      </w:r>
    </w:p>
    <w:p w:rsidR="00A64E62" w:rsidRPr="00A559DF" w:rsidRDefault="00A559DF">
      <w:pPr>
        <w:pStyle w:val="normal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Жоспардың құрылу кезеңі: ақпан </w:t>
      </w:r>
      <w:proofErr w:type="spellStart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>айы</w:t>
      </w:r>
      <w:proofErr w:type="spellEnd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, 2022-2023 </w:t>
      </w:r>
      <w:proofErr w:type="gramStart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>о</w:t>
      </w:r>
      <w:proofErr w:type="gramEnd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 xml:space="preserve">қу </w:t>
      </w:r>
      <w:proofErr w:type="spellStart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>жылы</w:t>
      </w:r>
      <w:proofErr w:type="spellEnd"/>
      <w:r w:rsidRPr="00A559DF">
        <w:rPr>
          <w:rFonts w:ascii="Times New Roman" w:eastAsia="Times New Roman" w:hAnsi="Times New Roman" w:cs="Times New Roman"/>
          <w:sz w:val="24"/>
          <w:szCs w:val="28"/>
          <w:highlight w:val="white"/>
        </w:rPr>
        <w:t>.</w:t>
      </w:r>
    </w:p>
    <w:p w:rsidR="00A64E62" w:rsidRDefault="00A64E62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5"/>
        <w:tblW w:w="1395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18"/>
        <w:gridCol w:w="2835"/>
        <w:gridCol w:w="9597"/>
      </w:tblGrid>
      <w:tr w:rsidR="00A64E62" w:rsidTr="00D1423B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Айы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Ұйымдастырылған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әрекет</w:t>
            </w:r>
          </w:p>
        </w:tc>
        <w:tc>
          <w:tcPr>
            <w:tcW w:w="9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Ұйымдастырылған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әрекетт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міндеттері</w:t>
            </w:r>
            <w:proofErr w:type="spellEnd"/>
          </w:p>
        </w:tc>
      </w:tr>
      <w:tr w:rsidR="00A64E62" w:rsidTr="00D1423B">
        <w:tc>
          <w:tcPr>
            <w:tcW w:w="15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A64E62" w:rsidRDefault="00A559DF" w:rsidP="00D1423B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</w:t>
            </w:r>
          </w:p>
        </w:tc>
        <w:tc>
          <w:tcPr>
            <w:tcW w:w="9597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үйлесімді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спорттық, қимылды ойындарға,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айналысу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күш, жылдамдық, төзімділік,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икемділікті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 түрлерін: жүру мен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іруді,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лақтыруды, қағып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еңбектеу мен өрмелеуді,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мәдени-гигиеналық дағдылары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 жаттығуларын орындауға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ояту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салауатты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ұстануға тәрбиелеу;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әртү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рлі ұлттық қимылды ойындарға,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сипатындағы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қызығушылыққа баулу;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 жабдықтарын қолдануда қауіпсіздікті сақтау.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Лақтыру,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домалату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қағып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құрсауларды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бір-бі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қашықтық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қтыру (3,5–6,5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метрден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оң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қолымен көлденең қойылған нысанаға (2–2,5 метр қашықтықтан), 1,5 метр қашықтықта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тігінен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қойылған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ортасының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биіктігі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 метр) нысанаға лақтыру;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төменнен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лақтыру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(1,5 метр қашықтықта), қағып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кедергілер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қолымен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қолымен лақтыру (2 метр қашықтықтан);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жоғары лақтыру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қолымен қағып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(қатарынан 3–4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жаттығулар.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Кеудеге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арналған жаттығулар.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қойып, оңға-солға бұрылу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қалыпты). Оңға,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еңкею, шалқаю. Тұ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ған қалыпта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(алшақ), алға еңкейіп, қолдың саусақтарын аяқтың ұшына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қою және жоғары көтеру.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Тізерлеп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өзінен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аяқты жоғары көтеріп, жоғары көтерілген аяқтың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қолға беру. Отырған қалыпта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қты жоғары көтеру, бүгу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төмен түсіру.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қты айқастырып,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тұру.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Тізерлеп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тұрып, алға еңкею және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 шалқаю,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бүгу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көтеру және түсіру. Қолына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ұстап, шалқасынан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жатып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осы қалыпта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етпетінен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бұрылып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Етпетінен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жатқан қалыпта иықтарын,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қолдарын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көтеру.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Спорттық жаттығулар.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Шанамен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сырған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төбешіктен сырғанау;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сырғанату,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төбешікке көтерілу, төбешіктен түскенде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тежеу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Мұз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сырғанау.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Шаңғымен жүру: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шаңғымен 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жүру; ересектердің көмегімен шаңғыны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Жүзу: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суға түсу,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аяқтарын жоғары және төмен көтері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иекке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суға малу;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әдіспен жүзуге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талпыну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Қимылды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ойындар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Қимылды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ұйымдастыруда бастамашылдық,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физикалық қасиеттерді (жылдамдық, күш, шыдамдылық)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Қимылды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өлді орындауға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түрде сақтауға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секіргіштермен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дени-гигеналық дағдыларды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ұқыптылыққа, тазалыққа, өзінің сыртқы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қадағалауды әдетке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айналдыру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Тамақтанар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ретхана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барғаннан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ластанған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қолды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сабынмен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тазалауға үйрету.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рақты, қол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орамалды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Тамақтану әдебін сақтау. Тамақты асықпай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құралдарын (қасық, шанышқы), майлықты дұрыс қолдану, тамақтанып болғаннан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Өзін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өзі қызмет көрсету дағдылары.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Өзін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өзі қызмет көрсету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ғдыларын: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шешінуді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тазалауды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ересектің көмегімен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әрекетінен соң құтыларды, қылқаламдарды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үстелді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үрту.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Сауықтыру-шынықтыру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Шынықтырудың барлық тү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рлерін,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жүргізу: дымқыл шүберекпен сүртіну, аяқтарды,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тамақтанғаннан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Жалпақ табандылықтың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алдын-алу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күндері шө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ің, құмның үстімен жалаң аяқ жүру. Қимылдауға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ыңғайлы, жеңіл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желдетілген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бөлмеде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шынықтыру.</w:t>
            </w:r>
          </w:p>
        </w:tc>
      </w:tr>
      <w:tr w:rsidR="00A64E62" w:rsidTr="00D1423B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E62" w:rsidRDefault="00A64E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959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өздігінен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әңгімелерін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баланың айналасындағы өзін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құбылыстар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оның қажеттіліктерін қанағаттандыру,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құрдастарымен талқылау.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Сөйлеудің дыбыстық мәдениеті.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дауыссыз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ызың және үнді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 айтуға жаттықтыру. Артикуляциялық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Сөйлеу қарқынын өзгертуді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ақырын,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сөйлеуді меңгерту үшін тақпақтар мен жаңылтпаштар айтқызу. Дикция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жұмысты жалғастыру: сөздер мен сөз тірк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естерінің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айтылуын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жақсарту. Фонематикалық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атауға үйрету.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қор.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Сөздік қорды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тобын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жалпылаушы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сөздермен (ойыншықтар,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аяқ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ыдыс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жиһаз), заттардың орналасқан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оң, қатар,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тұрмыстық электротехника заттарының және ұлттық тұрмыстық заттардың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мағынасы қарам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қарсы антоним сөздермен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Тілдің грамматикалық құрылымы.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Сөйлемдегі сөздерді байланыстыруға, көмекші сөздерді дұрыс қолдануға,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көпше түрде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септіктерде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көпше түрд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байланыстыруға,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бұйрық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жүр,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ір).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Байланыстырып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сөйлеу.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әңг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імеге қатысуға баулу,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қатысушы үшін түсінікті сұрақтар қоюға және қойылған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сұрақтарға дұрыс, толық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үйрету: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қарап, сипаттауға үйрету.</w:t>
            </w:r>
          </w:p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үйрету: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қарап, сипаттауға,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әрекеттерінде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бұйымдары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әңгімелер құрастыруға, шығармалардың, ертегілердің қызықты үзінділерін қайталап айтуға,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құбылыстар, оқиғалар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ақпаратты талқылауға баулу.</w:t>
            </w:r>
          </w:p>
        </w:tc>
      </w:tr>
      <w:tr w:rsidR="00A64E62" w:rsidTr="00D1423B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E62" w:rsidRDefault="00A64E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Көркем әдебиет</w:t>
            </w:r>
          </w:p>
        </w:tc>
        <w:tc>
          <w:tcPr>
            <w:tcW w:w="959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әдебиетіне, театр әлеміне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тыңдауға, сахналауға, тәрбиелік мәні бар әдеби шығармаларды ұсыну.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Балалардың кітаптағы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қарастырып,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әңгіме құрастыруына мүмкінді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беру.</w:t>
            </w:r>
          </w:p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Шешендікке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сөз өнеріне баулу, халық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әдебиеті шыға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рмаларымен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санамақ, жаңылтпаш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жұмбақ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өнеріне баулу.</w:t>
            </w:r>
          </w:p>
        </w:tc>
      </w:tr>
      <w:tr w:rsidR="00A64E62" w:rsidTr="00D1423B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E62" w:rsidRDefault="00A64E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959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ересектермен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қатынас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Қазақстан халқының мәдениетімен, салт-дә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үрлерімен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әрекетінде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орта.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Айналасындағы өзін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құбылыстар, оқиғалар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ақпараттарды алуға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талқылауға мүмкіндік беру. Ұжымдық әңгімеге қатысуға, әңгімелесушінің сөзін бөлмей,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сөйлеуге үйрету.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құралдарын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сахналық қойылымдарда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жануарлардың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көңі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әңгімелесушінің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өзіне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 мәнерін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Сөйлеудің дыбыстық мәдениеті.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Артикуляциялық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сөйлеуде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фонематикалық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анық және қалыпты қарқынмен сөйлей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Қазақ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тән "ө,қ"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 айтуға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баулу.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қор.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Шағын өлең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санамақтар, жаңылтпаштар, тақпақтар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жаттату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жұмбақтар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шешкізу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Шығарманы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оның мазмұны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үзіліст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ерді, логикалық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екпінді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қолданып, мәнерлеп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Тілдің грамматикалық құрылымы.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Сөздерді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жіктеп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тәуелдеп,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септеп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Байланыстырып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сөйлеу.</w:t>
            </w:r>
          </w:p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қатынас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қойылған сұрақтардың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йрықты сөйлемдермен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өзі мен құрдастарының жауабындағы қателіктерді және жауаптың дұрыстығын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жауабын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ұсынуға,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неге, не үшін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сипатындағы сұрақтарды қоюға,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диалог құруға,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талқылауға мүмкіндік беру.</w:t>
            </w:r>
          </w:p>
        </w:tc>
      </w:tr>
      <w:tr w:rsidR="00A64E62" w:rsidTr="00D1423B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E62" w:rsidRDefault="00A64E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</w:p>
        </w:tc>
        <w:tc>
          <w:tcPr>
            <w:tcW w:w="959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олардың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көлемін көзбен өлшеу, қолмен ұстау арқылы көрнекі-бейнелік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сақтауды, қиялдауды, сөйлеуді, қолдың ұсақ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моторикасын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танымдық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себеп-салдарлық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қорытынды шығ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сенсорлық қабілеттерін, бастапқы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қарапайым түсініктерін қалыптастыру;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қалыптастыру, ұжыммен жұмыс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эстетикалық талғамды қалыптастыру, балалардың 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өрістерін кеңейту;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өлі табиғат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объектілеріне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ұқыпты қарауға тәрбиелеу.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Геометриялық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фигуралар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геометриялық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(дөңгелек, үшбұрыш, төртбұрыш)</w:t>
            </w:r>
          </w:p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денелерді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(куб, шар, цилиндр)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үйрету, геометриялық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көру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сөйлеуде 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нәтижелерін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(ұзында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у-қысқалау, кеңдеу-тарлау, жоғары-төмен, қалың-жұқа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ұзындығы,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биіктігі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қалыңдығы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тең).</w:t>
            </w:r>
          </w:p>
        </w:tc>
      </w:tr>
      <w:tr w:rsidR="00A64E62" w:rsidTr="00D1423B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E62" w:rsidRDefault="00A64E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салу</w:t>
            </w:r>
          </w:p>
        </w:tc>
        <w:tc>
          <w:tcPr>
            <w:tcW w:w="959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қазақ халқының ұлттық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өнеріне баулу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патриотизмге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тәрбиелеу;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әрекетінде балалардың көркем-шығармашылық қабілеттерін,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дербестігін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әртүрлі түстерді қолдануға, кө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аударуға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ұмтылысты қолдау.</w:t>
            </w:r>
          </w:p>
        </w:tc>
      </w:tr>
      <w:tr w:rsidR="00A64E62" w:rsidTr="00D1423B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E62" w:rsidRDefault="00A64E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Жапсыру</w:t>
            </w:r>
            <w:proofErr w:type="spellEnd"/>
          </w:p>
        </w:tc>
        <w:tc>
          <w:tcPr>
            <w:tcW w:w="959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қоршаған ортадағы әсемдікті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абылдау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баулу,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ығармашылық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қиялды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өнер түрлері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ұғымдарды кеңейту,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қарау және қолмен ұстап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ішіндерден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жануарлар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құстар, гүлдердің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пішінін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қию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proofErr w:type="spellEnd"/>
          </w:p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қағаз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нысандардың көлемі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арақатынасын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Ұсақ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ересектердің көмегімен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желімдеу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алдымен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қағаз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заттың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желімдеу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E62" w:rsidTr="00D1423B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E62" w:rsidRDefault="00A64E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Мүсіндеу</w:t>
            </w:r>
          </w:p>
        </w:tc>
        <w:tc>
          <w:tcPr>
            <w:tcW w:w="959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өзінің және басқа балалардың жұмыстарын бағалау арқылы көрке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эстетикалық талғамды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өнер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туындыларын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 мен 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іну дағдыларын қалыптастыру.</w:t>
            </w:r>
          </w:p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Мүсіндеуде қысу,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басу әдістерін қолдану.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Кескі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қолдануды үйрету, оның көмегімен жасалған бұйымды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безендіруге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E62" w:rsidTr="00D1423B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E62" w:rsidRDefault="00A64E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59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тыңдауға, айтуға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сәйкес, тәрбиелік мәні бар әндерді ұсыну.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қызығушы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оны тыңдауға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музыкалық шығармаларды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 тыңдау.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тыңдау мәдениетін сақтау (музыкалық шығармаларды алаңдамай соңына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тыңдау).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шығармаларды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тыңдалған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алған әсерлері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әңгімелеу, музыкалық шығарманың мәнерлі құралдарын байқ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үйре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 (ақырын, қатты,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жоғары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(секста, септима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жоғары, төмен).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мәнерлеп ән айтуға үйрету, әнді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қимылдармен үйлесті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 (ре-си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Қысқа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Әуенді таза және сөздерді анық айтуға,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Аспаптың сүйемелдеуімен және сүйемелдеуінсіз ән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 (тәрбиешіні көмегімен).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ырғақты қимылдар.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қимылдарын, ойындағы музыкал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ық қимылдарды орындауға қызығушылық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марш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ырғақты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іспен беру, музыканың қимылдық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қарай жеңіл, ырғақты жүгіру; музыканың ырғағын нақты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қос аяқпен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жеңіл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бөлігінде қимылдарды өзгерту.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аспаптарында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арналған әртүрлі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Сазсырнайда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әуендерді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Әуеннің көңілді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қабылдауға үйрету,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іспесін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кіріспеден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қимылдарының, билердің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Жеңіл, ырғақпен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ғалу; жұппен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ойындағы музыкалық қимылдарды қолдану.</w:t>
            </w:r>
          </w:p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әрекеттерін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шеңбер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жүру, қимылдарды өзгерту, шапшаңдық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көңілді, ойнақы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E62" w:rsidTr="00D1423B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E62" w:rsidRDefault="00A64E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Құрастыру</w:t>
            </w:r>
          </w:p>
        </w:tc>
        <w:tc>
          <w:tcPr>
            <w:tcW w:w="959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қауіпсіздікті сақтауға, ұқ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ыптылы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ққа тәрбиелеу.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Қағаздан құрастыру.</w:t>
            </w:r>
          </w:p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Қағаздан құрастыруға үйрету: қағаздың парағын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ортасынан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бүктеп, шиыршықтап, көлемді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орамдарға,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ілмекке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бұрыштарын және қырларын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біріктіру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желімдеу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бөлшектерді өзара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желімдеп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композиция құрастыру, «оригами» үлгісі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пайым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пішіндер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құрастыру.</w:t>
            </w:r>
          </w:p>
        </w:tc>
      </w:tr>
      <w:tr w:rsidR="00A64E62" w:rsidTr="00D1423B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E62" w:rsidRDefault="00A64E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танысу</w:t>
            </w:r>
            <w:proofErr w:type="spellEnd"/>
          </w:p>
        </w:tc>
        <w:tc>
          <w:tcPr>
            <w:tcW w:w="959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ересектердің еңбегі, оның қоғамдық өмірдегі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қабылданған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құрдастарымен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ересектермен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өзара қарым-қатынастары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отансүйгі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еліміздің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жетістігіне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мақтаныш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тәрбиелеу;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құрдастарымен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сыпайы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қатынас жасауға баулу;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туған өлкеге, өзінің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әне оның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сүйіспеншілікке тәрбиелеу;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өлі табиғат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кеңейту;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танымдық қызығушылықтары мен шығармашылық қиялды қалыптастыру; табиғатты сақтауда адамның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қалыптастыру;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табиғатта қауіпсіздікті сақтау.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 табиғат құбылыстары мен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заттары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Табиғат құбылыстары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ұғымдарын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жаңбыр, тұман, қар, бұршақ, кемпі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қосақ,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кеңейту.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Бақылау күнтізбесінде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(суық,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күн шуақты, қар, жаңбыр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қты), соған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E62" w:rsidRDefault="00A559D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Қарапайым себеп-салдарлық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бақылау және анықтау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соғып, жапырақ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 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і, күннің суықтығынан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 мұзға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еңбек, эксперимент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құм, қар, су, мұз,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саздың қасиеттерін анықтау.</w:t>
            </w:r>
          </w:p>
          <w:p w:rsidR="00A64E62" w:rsidRDefault="00A559DF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климаттық жағдайлардың өзгеруін бақылау. Қазақстанның түрлі аймақтарында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райының түрліше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інік беру.</w:t>
            </w:r>
          </w:p>
        </w:tc>
      </w:tr>
    </w:tbl>
    <w:p w:rsidR="00A64E62" w:rsidRDefault="00A64E62">
      <w:pPr>
        <w:pStyle w:val="normal"/>
      </w:pPr>
    </w:p>
    <w:sectPr w:rsidR="00A64E62" w:rsidSect="00A64E62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E62"/>
    <w:rsid w:val="00A559DF"/>
    <w:rsid w:val="00A64E62"/>
    <w:rsid w:val="00D1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64E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64E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64E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64E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64E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64E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4E62"/>
  </w:style>
  <w:style w:type="table" w:customStyle="1" w:styleId="TableNormal">
    <w:name w:val="Table Normal"/>
    <w:rsid w:val="00A64E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64E6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64E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64E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2023-06-24T18:22:00Z</dcterms:created>
  <dcterms:modified xsi:type="dcterms:W3CDTF">2023-06-24T18:38:00Z</dcterms:modified>
</cp:coreProperties>
</file>